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Arial" w:cs="Arial" w:eastAsia="Arial" w:hAnsi="Arial"/>
          <w:b/>
          <w:bCs/>
          <w:color w:val="1B2A4A"/>
          <w:sz w:val="36"/>
          <w:szCs w:val="36"/>
        </w:rPr>
        <w:t xml:space="preserve">Out of School Alliance</w:t>
      </w:r>
    </w:p>
    <w:p>
      <w:pPr>
        <w:spacing w:after="80" w:before="0"/>
        <w:jc w:val="center"/>
      </w:pPr>
      <w:r>
        <w:rPr>
          <w:rFonts w:ascii="Arial" w:cs="Arial" w:eastAsia="Arial" w:hAnsi="Arial"/>
          <w:b/>
          <w:bCs/>
          <w:color w:val="007B8A"/>
          <w:sz w:val="28"/>
          <w:szCs w:val="28"/>
        </w:rPr>
        <w:t xml:space="preserve">Quality Works: Make Play Work™</w:t>
      </w:r>
    </w:p>
    <w:p>
      <w:pPr>
        <w:spacing w:after="80" w:before="0"/>
        <w:jc w:val="center"/>
      </w:pPr>
      <w:r>
        <w:rPr>
          <w:rFonts w:ascii="Arial" w:cs="Arial" w:eastAsia="Arial" w:hAnsi="Arial"/>
          <w:color w:val="1B2A4A"/>
          <w:sz w:val="24"/>
          <w:szCs w:val="24"/>
        </w:rPr>
        <w:t xml:space="preserve">Supplementary Terms and Conditions</w:t>
      </w:r>
    </w:p>
    <w:p>
      <w:pPr>
        <w:spacing w:after="280" w:before="0"/>
        <w:jc w:val="center"/>
      </w:pPr>
      <w:r>
        <w:rPr>
          <w:rFonts w:ascii="Arial" w:cs="Arial" w:eastAsia="Arial" w:hAnsi="Arial"/>
          <w:color w:val="666666"/>
          <w:sz w:val="20"/>
          <w:szCs w:val="20"/>
        </w:rPr>
        <w:t xml:space="preserve">Version 2.0  |  © The Bold Type Training &amp; Consultancy Ltd 2025</w:t>
      </w:r>
    </w:p>
    <w:p>
      <w:pPr>
        <w:pBdr>
          <w:bottom w:val="single" w:color="007B8A" w:sz="6" w:space="1"/>
        </w:pBdr>
        <w:spacing w:after="160" w:before="160"/>
      </w:pPr>
      <w:r>
        <w:t xml:space="preserve"/>
      </w:r>
    </w:p>
    <w:p>
      <w:pPr>
        <w:spacing w:after="100" w:before="100"/>
      </w:pPr>
      <w:r>
        <w:rPr>
          <w:rFonts w:ascii="Arial" w:cs="Arial" w:eastAsia="Arial" w:hAnsi="Arial"/>
          <w:sz w:val="22"/>
          <w:szCs w:val="22"/>
        </w:rPr>
        <w:t xml:space="preserve">These supplementary terms apply to the purchase and use of the Quality Works: Make Play Work™ toolkit (“Quality Works”) and should be read alongside the Out of School Alliance Contract of Sale. By purchasing Quality Works or completing the Quality Works Scorecard, you agree to be bound by these terms.</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1. The Quality Works Toolkit</w:t>
      </w:r>
    </w:p>
    <w:p>
      <w:pPr>
        <w:spacing w:after="100" w:before="100"/>
        <w:ind w:left="360" w:hanging="360"/>
      </w:pPr>
      <w:r>
        <w:rPr>
          <w:rFonts w:ascii="Arial" w:cs="Arial" w:eastAsia="Arial" w:hAnsi="Arial"/>
          <w:sz w:val="22"/>
          <w:szCs w:val="22"/>
        </w:rPr>
        <w:t xml:space="preserve">1.1	</w:t>
      </w:r>
      <w:r>
        <w:rPr>
          <w:rFonts w:ascii="Arial" w:cs="Arial" w:eastAsia="Arial" w:hAnsi="Arial"/>
          <w:sz w:val="22"/>
          <w:szCs w:val="22"/>
        </w:rPr>
        <w:t xml:space="preserve">Quality Works is a structured quality improvement toolkit for out-of-school and wraparound childcare settings. It comprises the Quality Works Manual, the Quality Works Scorecard, and a personalised Quality Report, together with associated facilitation guides, quick wins guides, and supporting resources (together, “the Toolkit”).</w:t>
      </w:r>
    </w:p>
    <w:p>
      <w:pPr>
        <w:spacing w:after="100" w:before="100"/>
        <w:ind w:left="360" w:hanging="360"/>
      </w:pPr>
      <w:r>
        <w:rPr>
          <w:rFonts w:ascii="Arial" w:cs="Arial" w:eastAsia="Arial" w:hAnsi="Arial"/>
          <w:sz w:val="22"/>
          <w:szCs w:val="22"/>
        </w:rPr>
        <w:t xml:space="preserve">1.2	</w:t>
      </w:r>
      <w:r>
        <w:rPr>
          <w:rFonts w:ascii="Arial" w:cs="Arial" w:eastAsia="Arial" w:hAnsi="Arial"/>
          <w:sz w:val="22"/>
          <w:szCs w:val="22"/>
        </w:rPr>
        <w:t xml:space="preserve">Quality Works is supplied by The Bold Type Training &amp; Consultancy Ltd (trading as Out of School Alliance and OOSA Academy), company number 11544956 (“we”, “us”, “our”). These supplementary terms govern your use of the Toolkit and form part of your contract of sale with us.</w:t>
      </w:r>
    </w:p>
    <w:p>
      <w:pPr>
        <w:spacing w:after="100" w:before="100"/>
        <w:ind w:left="360" w:hanging="360"/>
      </w:pPr>
      <w:r>
        <w:rPr>
          <w:rFonts w:ascii="Arial" w:cs="Arial" w:eastAsia="Arial" w:hAnsi="Arial"/>
          <w:sz w:val="22"/>
          <w:szCs w:val="22"/>
        </w:rPr>
        <w:t xml:space="preserve">1.3	</w:t>
      </w:r>
      <w:r>
        <w:rPr>
          <w:rFonts w:ascii="Arial" w:cs="Arial" w:eastAsia="Arial" w:hAnsi="Arial"/>
          <w:sz w:val="22"/>
          <w:szCs w:val="22"/>
        </w:rPr>
        <w:t xml:space="preserve">Quality Works is available at three support levels: Level 1 Self-Serve, Level 2 Guided Support, and Level 3 Premium. The scope of each level is as described on the OOSA Academy website at the time of purchase.</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2. Licence to Use</w:t>
      </w:r>
    </w:p>
    <w:p>
      <w:pPr>
        <w:spacing w:after="100" w:before="100"/>
        <w:ind w:left="360" w:hanging="360"/>
      </w:pPr>
      <w:r>
        <w:rPr>
          <w:rFonts w:ascii="Arial" w:cs="Arial" w:eastAsia="Arial" w:hAnsi="Arial"/>
          <w:sz w:val="22"/>
          <w:szCs w:val="22"/>
        </w:rPr>
        <w:t xml:space="preserve">2.1	</w:t>
      </w:r>
      <w:r>
        <w:rPr>
          <w:rFonts w:ascii="Arial" w:cs="Arial" w:eastAsia="Arial" w:hAnsi="Arial"/>
          <w:sz w:val="22"/>
          <w:szCs w:val="22"/>
        </w:rPr>
        <w:t xml:space="preserve">When you purchase Quality Works, we grant you a limited, non-exclusive, non-transferable licence to access and use the Toolkit for the purposes of quality improvement within your own setting(s), subject to these terms.</w:t>
      </w:r>
    </w:p>
    <w:p>
      <w:pPr>
        <w:spacing w:after="100" w:before="100"/>
        <w:ind w:left="360" w:hanging="360"/>
      </w:pPr>
      <w:r>
        <w:rPr>
          <w:rFonts w:ascii="Arial" w:cs="Arial" w:eastAsia="Arial" w:hAnsi="Arial"/>
          <w:sz w:val="22"/>
          <w:szCs w:val="22"/>
        </w:rPr>
        <w:t xml:space="preserve">2.2	</w:t>
      </w:r>
      <w:r>
        <w:rPr>
          <w:rFonts w:ascii="Arial" w:cs="Arial" w:eastAsia="Arial" w:hAnsi="Arial"/>
          <w:sz w:val="22"/>
          <w:szCs w:val="22"/>
        </w:rPr>
        <w:t xml:space="preserve">Your Toolkit licence is an organisational licence. It covers your organisation as a whole, regardless of the number of settings you operate. One purchase of the Toolkit (Manual, facilitation guides, quick wins guides and associated resources) is sufficient for your organisation.</w:t>
      </w:r>
    </w:p>
    <w:p>
      <w:pPr>
        <w:spacing w:after="100" w:before="100"/>
        <w:ind w:left="360" w:hanging="360"/>
      </w:pPr>
      <w:r>
        <w:rPr>
          <w:rFonts w:ascii="Arial" w:cs="Arial" w:eastAsia="Arial" w:hAnsi="Arial"/>
          <w:sz w:val="22"/>
          <w:szCs w:val="22"/>
        </w:rPr>
        <w:t xml:space="preserve">2.3	</w:t>
      </w:r>
      <w:r>
        <w:rPr>
          <w:rFonts w:ascii="Arial" w:cs="Arial" w:eastAsia="Arial" w:hAnsi="Arial"/>
          <w:sz w:val="22"/>
          <w:szCs w:val="22"/>
        </w:rPr>
        <w:t xml:space="preserve">Scorecard access and Quality Report generation are provided on a per-setting basis. Your purchase includes Scorecard access for one named setting. If you operate more than one setting and wish to complete the Quality Works Scorecard for additional settings, you must purchase the applicable per-setting bolt-on as set out in clause 3 below.</w:t>
      </w:r>
    </w:p>
    <w:p>
      <w:pPr>
        <w:spacing w:after="100" w:before="100"/>
        <w:ind w:left="360" w:hanging="360"/>
      </w:pPr>
      <w:r>
        <w:rPr>
          <w:rFonts w:ascii="Arial" w:cs="Arial" w:eastAsia="Arial" w:hAnsi="Arial"/>
          <w:sz w:val="22"/>
          <w:szCs w:val="22"/>
        </w:rPr>
        <w:t xml:space="preserve">2.4	</w:t>
      </w:r>
      <w:r>
        <w:rPr>
          <w:rFonts w:ascii="Arial" w:cs="Arial" w:eastAsia="Arial" w:hAnsi="Arial"/>
          <w:sz w:val="22"/>
          <w:szCs w:val="22"/>
        </w:rPr>
        <w:t xml:space="preserve">You may not:</w:t>
      </w:r>
    </w:p>
    <w:p>
      <w:pPr>
        <w:pStyle w:val="ListParagraph"/>
        <w:numPr>
          <w:ilvl w:val="0"/>
          <w:numId w:val="2"/>
        </w:numPr>
        <w:spacing w:after="80" w:before="80"/>
      </w:pPr>
      <w:r>
        <w:rPr>
          <w:rFonts w:ascii="Arial" w:cs="Arial" w:eastAsia="Arial" w:hAnsi="Arial"/>
          <w:sz w:val="22"/>
          <w:szCs w:val="22"/>
        </w:rPr>
        <w:t xml:space="preserve">share, distribute, reproduce or transmit any part of the Quality Works Manual, Scorecard, Quality Report, facilitation guides or other Toolkit materials to any third party — including other settings, local authorities, schools or commissioners — without prior written permission from us;</w:t>
      </w:r>
    </w:p>
    <w:p>
      <w:pPr>
        <w:pStyle w:val="ListParagraph"/>
        <w:numPr>
          <w:ilvl w:val="0"/>
          <w:numId w:val="2"/>
        </w:numPr>
        <w:spacing w:after="80" w:before="80"/>
      </w:pPr>
      <w:r>
        <w:rPr>
          <w:rFonts w:ascii="Arial" w:cs="Arial" w:eastAsia="Arial" w:hAnsi="Arial"/>
          <w:sz w:val="22"/>
          <w:szCs w:val="22"/>
        </w:rPr>
        <w:t xml:space="preserve">use the Toolkit materials as the basis for your own quality improvement products or services;</w:t>
      </w:r>
    </w:p>
    <w:p>
      <w:pPr>
        <w:pStyle w:val="ListParagraph"/>
        <w:numPr>
          <w:ilvl w:val="0"/>
          <w:numId w:val="2"/>
        </w:numPr>
        <w:spacing w:after="80" w:before="80"/>
      </w:pPr>
      <w:r>
        <w:rPr>
          <w:rFonts w:ascii="Arial" w:cs="Arial" w:eastAsia="Arial" w:hAnsi="Arial"/>
          <w:sz w:val="22"/>
          <w:szCs w:val="22"/>
        </w:rPr>
        <w:t xml:space="preserve">remove or alter any intellectual property notices, branding or attribution contained within the Toolkit.</w:t>
      </w:r>
    </w:p>
    <w:p>
      <w:pPr>
        <w:spacing w:after="100" w:before="100"/>
        <w:ind w:left="360" w:hanging="360"/>
      </w:pPr>
      <w:r>
        <w:rPr>
          <w:rFonts w:ascii="Arial" w:cs="Arial" w:eastAsia="Arial" w:hAnsi="Arial"/>
          <w:sz w:val="22"/>
          <w:szCs w:val="22"/>
        </w:rPr>
        <w:t xml:space="preserve">2.5	</w:t>
      </w:r>
      <w:r>
        <w:rPr>
          <w:rFonts w:ascii="Arial" w:cs="Arial" w:eastAsia="Arial" w:hAnsi="Arial"/>
          <w:sz w:val="22"/>
          <w:szCs w:val="22"/>
        </w:rPr>
        <w:t xml:space="preserve">Where Quality Works is purchased by or on behalf of a local authority or commissioner for use by a cohort of settings, each setting within that cohort will be deemed a licensed user. The licence does not extend beyond the settings expressly identified, and the commissioning organisation may not redistribute Toolkit materials beyond the agreed cohort without prior written permission from us.</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3. Multi-Site Operators — Additional Setting Access</w:t>
      </w:r>
    </w:p>
    <w:p>
      <w:pPr>
        <w:spacing w:after="100" w:before="100"/>
        <w:ind w:left="360" w:hanging="360"/>
      </w:pPr>
      <w:r>
        <w:rPr>
          <w:rFonts w:ascii="Arial" w:cs="Arial" w:eastAsia="Arial" w:hAnsi="Arial"/>
          <w:sz w:val="22"/>
          <w:szCs w:val="22"/>
        </w:rPr>
        <w:t xml:space="preserve">3.1	</w:t>
      </w:r>
      <w:r>
        <w:rPr>
          <w:rFonts w:ascii="Arial" w:cs="Arial" w:eastAsia="Arial" w:hAnsi="Arial"/>
          <w:sz w:val="22"/>
          <w:szCs w:val="22"/>
        </w:rPr>
        <w:t xml:space="preserve">If you operate more than one setting, you may purchase Scorecard access for each additional setting at the applicable per-setting bolt-on rate. The Toolkit licence (as set out in clause 2.2) covers your organisation and does not need to be purchased again.</w:t>
      </w:r>
    </w:p>
    <w:p>
      <w:pPr>
        <w:spacing w:after="100" w:before="100"/>
        <w:ind w:left="360" w:hanging="360"/>
      </w:pPr>
      <w:r>
        <w:rPr>
          <w:rFonts w:ascii="Arial" w:cs="Arial" w:eastAsia="Arial" w:hAnsi="Arial"/>
          <w:sz w:val="22"/>
          <w:szCs w:val="22"/>
        </w:rPr>
        <w:t xml:space="preserve">3.2	</w:t>
      </w:r>
      <w:r>
        <w:rPr>
          <w:rFonts w:ascii="Arial" w:cs="Arial" w:eastAsia="Arial" w:hAnsi="Arial"/>
          <w:sz w:val="22"/>
          <w:szCs w:val="22"/>
        </w:rPr>
        <w:t xml:space="preserve">The per-setting bolt-on rate depends on the support level you have purchased, as follows:</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513"/>
        <w:gridCol w:w="2513"/>
      </w:tblGrid>
      <w:tr>
        <w:tc>
          <w:tcPr>
            <w:tcW w:type="dxa" w:w="200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vAlign w:val="center"/>
          </w:tcPr>
          <w:p>
            <w:r>
              <w:rPr>
                <w:rFonts w:ascii="Arial" w:cs="Arial" w:eastAsia="Arial" w:hAnsi="Arial"/>
                <w:b/>
                <w:bCs/>
                <w:color w:val="FFFFFF"/>
                <w:sz w:val="20"/>
                <w:szCs w:val="20"/>
              </w:rPr>
              <w:t xml:space="preserve">Level</w:t>
            </w:r>
          </w:p>
        </w:tc>
        <w:tc>
          <w:tcPr>
            <w:tcW w:type="dxa" w:w="2000"/>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vAlign w:val="center"/>
          </w:tcPr>
          <w:p>
            <w:r>
              <w:rPr>
                <w:rFonts w:ascii="Arial" w:cs="Arial" w:eastAsia="Arial" w:hAnsi="Arial"/>
                <w:b/>
                <w:bCs/>
                <w:color w:val="FFFFFF"/>
                <w:sz w:val="20"/>
                <w:szCs w:val="20"/>
              </w:rPr>
              <w:t xml:space="preserve">Single Setting</w:t>
            </w:r>
          </w:p>
        </w:tc>
        <w:tc>
          <w:tcPr>
            <w:tcW w:type="dxa" w:w="2513"/>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vAlign w:val="center"/>
          </w:tcPr>
          <w:p>
            <w:r>
              <w:rPr>
                <w:rFonts w:ascii="Arial" w:cs="Arial" w:eastAsia="Arial" w:hAnsi="Arial"/>
                <w:b/>
                <w:bCs/>
                <w:color w:val="FFFFFF"/>
                <w:sz w:val="20"/>
                <w:szCs w:val="20"/>
              </w:rPr>
              <w:t xml:space="preserve">Additional Settings (per setting)</w:t>
            </w:r>
          </w:p>
        </w:tc>
        <w:tc>
          <w:tcPr>
            <w:tcW w:type="dxa" w:w="2513"/>
            <w:tcBorders>
              <w:top w:val="single" w:color="CCCCCC" w:sz="1"/>
              <w:left w:val="single" w:color="CCCCCC" w:sz="1"/>
              <w:bottom w:val="single" w:color="CCCCCC" w:sz="1"/>
              <w:right w:val="single" w:color="CCCCCC" w:sz="1"/>
            </w:tcBorders>
            <w:shd w:fill="1B2A4A" w:val="clear"/>
            <w:tcMar>
              <w:top w:type="dxa" w:w="100"/>
              <w:left w:type="dxa" w:w="120"/>
              <w:bottom w:type="dxa" w:w="100"/>
              <w:right w:type="dxa" w:w="120"/>
            </w:tcMar>
            <w:vAlign w:val="center"/>
          </w:tcPr>
          <w:p>
            <w:r>
              <w:rPr>
                <w:rFonts w:ascii="Arial" w:cs="Arial" w:eastAsia="Arial" w:hAnsi="Arial"/>
                <w:b/>
                <w:bCs/>
                <w:color w:val="FFFFFF"/>
                <w:sz w:val="20"/>
                <w:szCs w:val="20"/>
              </w:rPr>
              <w:t xml:space="preserve">Notes</w:t>
            </w:r>
          </w:p>
        </w:tc>
      </w:tr>
      <w:tr>
        <w:tc>
          <w:tcPr>
            <w:tcW w:type="dxa" w:w="2000"/>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Level 1 — Self-Serve</w:t>
            </w:r>
          </w:p>
        </w:tc>
        <w:tc>
          <w:tcPr>
            <w:tcW w:type="dxa" w:w="2000"/>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£150 + VAT</w:t>
            </w:r>
          </w:p>
        </w:tc>
        <w:tc>
          <w:tcPr>
            <w:tcW w:type="dxa" w:w="2513"/>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£50 + VAT</w:t>
            </w:r>
          </w:p>
        </w:tc>
        <w:tc>
          <w:tcPr>
            <w:tcW w:type="dxa" w:w="2513"/>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Flat rate per additional setting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color w:val="1B2A4A"/>
                <w:sz w:val="20"/>
                <w:szCs w:val="20"/>
              </w:rPr>
              <w:t xml:space="preserve">Level 2 — Guided Support</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color w:val="1B2A4A"/>
                <w:sz w:val="20"/>
                <w:szCs w:val="20"/>
              </w:rPr>
              <w:t xml:space="preserve">£500 + VAT</w:t>
            </w:r>
          </w:p>
        </w:tc>
        <w:tc>
          <w:tcPr>
            <w:tcW w:type="dxa" w:w="2513"/>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color w:val="1B2A4A"/>
                <w:sz w:val="20"/>
                <w:szCs w:val="20"/>
              </w:rPr>
              <w:t xml:space="preserve">£200 + VAT</w:t>
            </w:r>
          </w:p>
        </w:tc>
        <w:tc>
          <w:tcPr>
            <w:tcW w:type="dxa" w:w="2513"/>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vAlign w:val="center"/>
          </w:tcPr>
          <w:p>
            <w:r>
              <w:rPr>
                <w:rFonts w:ascii="Arial" w:cs="Arial" w:eastAsia="Arial" w:hAnsi="Arial"/>
                <w:color w:val="1B2A4A"/>
                <w:sz w:val="20"/>
                <w:szCs w:val="20"/>
              </w:rPr>
              <w:t xml:space="preserve">Includes Scorecard access and professional review per setting</w:t>
            </w:r>
          </w:p>
        </w:tc>
      </w:tr>
      <w:tr>
        <w:tc>
          <w:tcPr>
            <w:tcW w:type="dxa" w:w="2000"/>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Level 3 — Premium</w:t>
            </w:r>
          </w:p>
        </w:tc>
        <w:tc>
          <w:tcPr>
            <w:tcW w:type="dxa" w:w="2000"/>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£1,000 + VAT</w:t>
            </w:r>
          </w:p>
        </w:tc>
        <w:tc>
          <w:tcPr>
            <w:tcW w:type="dxa" w:w="2513"/>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Bespoke — contact us</w:t>
            </w:r>
          </w:p>
        </w:tc>
        <w:tc>
          <w:tcPr>
            <w:tcW w:type="dxa" w:w="2513"/>
            <w:tcBorders>
              <w:top w:val="single" w:color="CCCCCC" w:sz="1"/>
              <w:left w:val="single" w:color="CCCCCC" w:sz="1"/>
              <w:bottom w:val="single" w:color="CCCCCC" w:sz="1"/>
              <w:right w:val="single" w:color="CCCCCC" w:sz="1"/>
            </w:tcBorders>
            <w:shd w:fill="E8F4F5" w:val="clear"/>
            <w:tcMar>
              <w:top w:type="dxa" w:w="100"/>
              <w:left w:type="dxa" w:w="120"/>
              <w:bottom w:type="dxa" w:w="100"/>
              <w:right w:type="dxa" w:w="120"/>
            </w:tcMar>
            <w:vAlign w:val="center"/>
          </w:tcPr>
          <w:p>
            <w:r>
              <w:rPr>
                <w:rFonts w:ascii="Arial" w:cs="Arial" w:eastAsia="Arial" w:hAnsi="Arial"/>
                <w:color w:val="1B2A4A"/>
                <w:sz w:val="20"/>
                <w:szCs w:val="20"/>
              </w:rPr>
              <w:t xml:space="preserve">Multi-site Premium packages are scoped and priced individually</w:t>
            </w:r>
          </w:p>
        </w:tc>
      </w:tr>
    </w:tbl>
    <w:p>
      <w:pPr>
        <w:spacing w:after="80" w:before="80"/>
      </w:pPr>
      <w:r>
        <w:t xml:space="preserve"/>
      </w:r>
    </w:p>
    <w:p>
      <w:pPr>
        <w:spacing w:after="100" w:before="100"/>
        <w:ind w:left="360" w:hanging="360"/>
      </w:pPr>
      <w:r>
        <w:rPr>
          <w:rFonts w:ascii="Arial" w:cs="Arial" w:eastAsia="Arial" w:hAnsi="Arial"/>
          <w:sz w:val="22"/>
          <w:szCs w:val="22"/>
        </w:rPr>
        <w:t xml:space="preserve">3.3	</w:t>
      </w:r>
      <w:r>
        <w:rPr>
          <w:rFonts w:ascii="Arial" w:cs="Arial" w:eastAsia="Arial" w:hAnsi="Arial"/>
          <w:b w:val="false"/>
          <w:bCs w:val="false"/>
          <w:sz w:val="22"/>
          <w:szCs w:val="22"/>
        </w:rPr>
        <w:t xml:space="preserve">Level 3 Premium — multi-site: </w:t>
      </w:r>
      <w:r>
        <w:rPr>
          <w:rFonts w:ascii="Arial" w:cs="Arial" w:eastAsia="Arial" w:hAnsi="Arial"/>
          <w:b w:val="false"/>
          <w:bCs w:val="false"/>
          <w:sz w:val="22"/>
          <w:szCs w:val="22"/>
        </w:rPr>
        <w:t xml:space="preserve">If you have purchased Level 3 Premium and wish to extend your package to cover additional settings, we will prepare a bespoke proposal reflecting the scope of support required across your organisation. This is because Level 3 Premium includes open-ended delivery commitments — including training sessions, mentoring and Academy course access — that vary significantly depending on the number of settings and staff involved. Please contact us at </w:t>
      </w:r>
      <w:r>
        <w:rPr>
          <w:rFonts w:ascii="Arial" w:cs="Arial" w:eastAsia="Arial" w:hAnsi="Arial"/>
          <w:b w:val="false"/>
          <w:bCs w:val="false"/>
          <w:sz w:val="22"/>
          <w:szCs w:val="22"/>
        </w:rPr>
        <w:t xml:space="preserve">info@oosa.co.uk</w:t>
      </w:r>
      <w:r>
        <w:rPr>
          <w:rFonts w:ascii="Arial" w:cs="Arial" w:eastAsia="Arial" w:hAnsi="Arial"/>
          <w:b w:val="false"/>
          <w:bCs w:val="false"/>
          <w:sz w:val="22"/>
          <w:szCs w:val="22"/>
        </w:rPr>
        <w:t xml:space="preserve"> to discuss your requirements.</w:t>
      </w:r>
    </w:p>
    <w:p>
      <w:pPr>
        <w:spacing w:after="100" w:before="100"/>
        <w:ind w:left="360" w:hanging="360"/>
      </w:pPr>
      <w:r>
        <w:rPr>
          <w:rFonts w:ascii="Arial" w:cs="Arial" w:eastAsia="Arial" w:hAnsi="Arial"/>
          <w:sz w:val="22"/>
          <w:szCs w:val="22"/>
        </w:rPr>
        <w:t xml:space="preserve">3.4	</w:t>
      </w:r>
      <w:r>
        <w:rPr>
          <w:rFonts w:ascii="Arial" w:cs="Arial" w:eastAsia="Arial" w:hAnsi="Arial"/>
          <w:sz w:val="22"/>
          <w:szCs w:val="22"/>
        </w:rPr>
        <w:t xml:space="preserve">Additional setting bolt-ons may be purchased at any time during your licence period. Access will be granted promptly upon receipt of payment and will run until the end of your current licence period.</w:t>
      </w:r>
    </w:p>
    <w:p>
      <w:pPr>
        <w:spacing w:after="100" w:before="100"/>
        <w:ind w:left="360" w:hanging="360"/>
      </w:pPr>
      <w:r>
        <w:rPr>
          <w:rFonts w:ascii="Arial" w:cs="Arial" w:eastAsia="Arial" w:hAnsi="Arial"/>
          <w:sz w:val="22"/>
          <w:szCs w:val="22"/>
        </w:rPr>
        <w:t xml:space="preserve">3.5	</w:t>
      </w:r>
      <w:r>
        <w:rPr>
          <w:rFonts w:ascii="Arial" w:cs="Arial" w:eastAsia="Arial" w:hAnsi="Arial"/>
          <w:sz w:val="22"/>
          <w:szCs w:val="22"/>
        </w:rPr>
        <w:t xml:space="preserve">Each additional setting for which a bolt-on has been purchased will receive its own Scorecard access and personalised Quality Report. All settings within your organisation will be linked within your OOSA Academy account, enabling you to view progress across your portfolio.</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4. Intellectual Property</w:t>
      </w:r>
    </w:p>
    <w:p>
      <w:pPr>
        <w:spacing w:after="100" w:before="100"/>
        <w:ind w:left="360" w:hanging="360"/>
      </w:pPr>
      <w:r>
        <w:rPr>
          <w:rFonts w:ascii="Arial" w:cs="Arial" w:eastAsia="Arial" w:hAnsi="Arial"/>
          <w:sz w:val="22"/>
          <w:szCs w:val="22"/>
        </w:rPr>
        <w:t xml:space="preserve">4.1	</w:t>
      </w:r>
      <w:r>
        <w:rPr>
          <w:rFonts w:ascii="Arial" w:cs="Arial" w:eastAsia="Arial" w:hAnsi="Arial"/>
          <w:sz w:val="22"/>
          <w:szCs w:val="22"/>
        </w:rPr>
        <w:t xml:space="preserve">All content within the Quality Works Toolkit — including the Quality Works Manual, Scorecard framework, grade descriptors, facilitation guides, quick wins guides, and all associated branding and materials — is the intellectual property of The Bold Type Training &amp; Consultancy Ltd. All rights are reserved.</w:t>
      </w:r>
    </w:p>
    <w:p>
      <w:pPr>
        <w:spacing w:after="100" w:before="100"/>
        <w:ind w:left="360" w:hanging="360"/>
      </w:pPr>
      <w:r>
        <w:rPr>
          <w:rFonts w:ascii="Arial" w:cs="Arial" w:eastAsia="Arial" w:hAnsi="Arial"/>
          <w:sz w:val="22"/>
          <w:szCs w:val="22"/>
        </w:rPr>
        <w:t xml:space="preserve">4.2	</w:t>
      </w:r>
      <w:r>
        <w:rPr>
          <w:rFonts w:ascii="Arial" w:cs="Arial" w:eastAsia="Arial" w:hAnsi="Arial"/>
          <w:sz w:val="22"/>
          <w:szCs w:val="22"/>
        </w:rPr>
        <w:t xml:space="preserve">“Make Play Work” and “Quality Works” are trade marks of The Bold Type Training &amp; Consultancy Ltd. You may not use these trade marks without our prior written permission.</w:t>
      </w:r>
    </w:p>
    <w:p>
      <w:pPr>
        <w:spacing w:after="100" w:before="100"/>
        <w:ind w:left="360" w:hanging="360"/>
      </w:pPr>
      <w:r>
        <w:rPr>
          <w:rFonts w:ascii="Arial" w:cs="Arial" w:eastAsia="Arial" w:hAnsi="Arial"/>
          <w:sz w:val="22"/>
          <w:szCs w:val="22"/>
        </w:rPr>
        <w:t xml:space="preserve">4.3	</w:t>
      </w:r>
      <w:r>
        <w:rPr>
          <w:rFonts w:ascii="Arial" w:cs="Arial" w:eastAsia="Arial" w:hAnsi="Arial"/>
          <w:sz w:val="22"/>
          <w:szCs w:val="22"/>
        </w:rPr>
        <w:t xml:space="preserve">Purchase or use of the Toolkit does not confer any rights of ownership in any Toolkit materials. No licence or right other than that expressly set out in clause 2 above is granted to you.</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5. Data Collection and Processing</w:t>
      </w:r>
    </w:p>
    <w:p>
      <w:pPr>
        <w:spacing w:after="100" w:before="100"/>
      </w:pPr>
      <w:r>
        <w:rPr>
          <w:rFonts w:ascii="Arial" w:cs="Arial" w:eastAsia="Arial" w:hAnsi="Arial"/>
          <w:sz w:val="22"/>
          <w:szCs w:val="22"/>
        </w:rPr>
        <w:t xml:space="preserve">This section explains how we collect, use and protect the information you provide when using the Quality Works Scorecard. Please read it carefully.</w:t>
      </w:r>
    </w:p>
    <w:p>
      <w:pPr>
        <w:spacing w:after="80" w:before="80"/>
      </w:pPr>
      <w:r>
        <w:t xml:space="preserve"/>
      </w:r>
    </w:p>
    <w:p>
      <w:pPr>
        <w:pStyle w:val="Heading2"/>
        <w:spacing w:after="120" w:before="240"/>
      </w:pPr>
      <w:r>
        <w:rPr>
          <w:rFonts w:ascii="Arial" w:cs="Arial" w:eastAsia="Arial" w:hAnsi="Arial"/>
          <w:b/>
          <w:bCs/>
          <w:color w:val="007B8A"/>
          <w:sz w:val="24"/>
          <w:szCs w:val="24"/>
        </w:rPr>
        <w:t xml:space="preserve">What we collect</w:t>
      </w:r>
    </w:p>
    <w:p>
      <w:pPr>
        <w:spacing w:after="100" w:before="100"/>
        <w:ind w:left="360" w:hanging="360"/>
      </w:pPr>
      <w:r>
        <w:rPr>
          <w:rFonts w:ascii="Arial" w:cs="Arial" w:eastAsia="Arial" w:hAnsi="Arial"/>
          <w:sz w:val="22"/>
          <w:szCs w:val="22"/>
        </w:rPr>
        <w:t xml:space="preserve">5.1	</w:t>
      </w:r>
      <w:r>
        <w:rPr>
          <w:rFonts w:ascii="Arial" w:cs="Arial" w:eastAsia="Arial" w:hAnsi="Arial"/>
          <w:sz w:val="22"/>
          <w:szCs w:val="22"/>
        </w:rPr>
        <w:t xml:space="preserve">When you use the Quality Works Scorecard, we collect the following information about your setting:</w:t>
      </w:r>
    </w:p>
    <w:p>
      <w:pPr>
        <w:pStyle w:val="ListParagraph"/>
        <w:numPr>
          <w:ilvl w:val="0"/>
          <w:numId w:val="2"/>
        </w:numPr>
        <w:spacing w:after="80" w:before="80"/>
      </w:pPr>
      <w:r>
        <w:rPr>
          <w:rFonts w:ascii="Arial" w:cs="Arial" w:eastAsia="Arial" w:hAnsi="Arial"/>
          <w:sz w:val="22"/>
          <w:szCs w:val="22"/>
        </w:rPr>
        <w:t xml:space="preserve">your setting name, type, size, region and other identifying information provided at registration;</w:t>
      </w:r>
    </w:p>
    <w:p>
      <w:pPr>
        <w:pStyle w:val="ListParagraph"/>
        <w:numPr>
          <w:ilvl w:val="0"/>
          <w:numId w:val="2"/>
        </w:numPr>
        <w:spacing w:after="80" w:before="80"/>
      </w:pPr>
      <w:r>
        <w:rPr>
          <w:rFonts w:ascii="Arial" w:cs="Arial" w:eastAsia="Arial" w:hAnsi="Arial"/>
          <w:sz w:val="22"/>
          <w:szCs w:val="22"/>
        </w:rPr>
        <w:t xml:space="preserve">your self-assessed quality grades across the Quality Works practice areas;</w:t>
      </w:r>
    </w:p>
    <w:p>
      <w:pPr>
        <w:pStyle w:val="ListParagraph"/>
        <w:numPr>
          <w:ilvl w:val="0"/>
          <w:numId w:val="2"/>
        </w:numPr>
        <w:spacing w:after="80" w:before="80"/>
      </w:pPr>
      <w:r>
        <w:rPr>
          <w:rFonts w:ascii="Arial" w:cs="Arial" w:eastAsia="Arial" w:hAnsi="Arial"/>
          <w:sz w:val="22"/>
          <w:szCs w:val="22"/>
        </w:rPr>
        <w:t xml:space="preserve">any narrative or contextual information you choose to provide in support of your grades;</w:t>
      </w:r>
    </w:p>
    <w:p>
      <w:pPr>
        <w:pStyle w:val="ListParagraph"/>
        <w:numPr>
          <w:ilvl w:val="0"/>
          <w:numId w:val="2"/>
        </w:numPr>
        <w:spacing w:after="80" w:before="80"/>
      </w:pPr>
      <w:r>
        <w:rPr>
          <w:rFonts w:ascii="Arial" w:cs="Arial" w:eastAsia="Arial" w:hAnsi="Arial"/>
          <w:sz w:val="22"/>
          <w:szCs w:val="22"/>
        </w:rPr>
        <w:t xml:space="preserve">the date(s) and frequency of Scorecard completion, which enables progress to be tracked over time.</w:t>
      </w:r>
    </w:p>
    <w:p>
      <w:pPr>
        <w:spacing w:after="80" w:before="80"/>
      </w:pPr>
      <w:r>
        <w:t xml:space="preserve"/>
      </w:r>
    </w:p>
    <w:p>
      <w:pPr>
        <w:pStyle w:val="Heading2"/>
        <w:spacing w:after="120" w:before="240"/>
      </w:pPr>
      <w:r>
        <w:rPr>
          <w:rFonts w:ascii="Arial" w:cs="Arial" w:eastAsia="Arial" w:hAnsi="Arial"/>
          <w:b/>
          <w:bCs/>
          <w:color w:val="007B8A"/>
          <w:sz w:val="24"/>
          <w:szCs w:val="24"/>
        </w:rPr>
        <w:t xml:space="preserve">How we use it</w:t>
      </w:r>
    </w:p>
    <w:p>
      <w:pPr>
        <w:spacing w:after="100" w:before="100"/>
        <w:ind w:left="360" w:hanging="360"/>
      </w:pPr>
      <w:r>
        <w:rPr>
          <w:rFonts w:ascii="Arial" w:cs="Arial" w:eastAsia="Arial" w:hAnsi="Arial"/>
          <w:sz w:val="22"/>
          <w:szCs w:val="22"/>
        </w:rPr>
        <w:t xml:space="preserve">5.2	</w:t>
      </w:r>
      <w:r>
        <w:rPr>
          <w:rFonts w:ascii="Arial" w:cs="Arial" w:eastAsia="Arial" w:hAnsi="Arial"/>
          <w:sz w:val="22"/>
          <w:szCs w:val="22"/>
        </w:rPr>
        <w:t xml:space="preserve">We use your Scorecard data for the following purposes:</w:t>
      </w:r>
    </w:p>
    <w:p>
      <w:pPr>
        <w:pStyle w:val="ListParagraph"/>
        <w:numPr>
          <w:ilvl w:val="0"/>
          <w:numId w:val="2"/>
        </w:numPr>
        <w:spacing w:after="80" w:before="80"/>
      </w:pPr>
      <w:r>
        <w:rPr>
          <w:rFonts w:ascii="Arial" w:cs="Arial" w:eastAsia="Arial" w:hAnsi="Arial"/>
          <w:sz w:val="22"/>
          <w:szCs w:val="22"/>
        </w:rPr>
        <w:t xml:space="preserve">(a) to generate your personalised Quality Report and provide you with the quality improvement outputs you have purchased;</w:t>
      </w:r>
    </w:p>
    <w:p>
      <w:pPr>
        <w:pStyle w:val="ListParagraph"/>
        <w:numPr>
          <w:ilvl w:val="0"/>
          <w:numId w:val="2"/>
        </w:numPr>
        <w:spacing w:after="80" w:before="80"/>
      </w:pPr>
      <w:r>
        <w:rPr>
          <w:rFonts w:ascii="Arial" w:cs="Arial" w:eastAsia="Arial" w:hAnsi="Arial"/>
          <w:sz w:val="22"/>
          <w:szCs w:val="22"/>
        </w:rPr>
        <w:t xml:space="preserve">(b) to analyse quality improvement trends and produce anonymised benchmarking data for publication in OOSA’s State of the Sector reporting and wider sector intelligence outputs;</w:t>
      </w:r>
    </w:p>
    <w:p>
      <w:pPr>
        <w:pStyle w:val="ListParagraph"/>
        <w:numPr>
          <w:ilvl w:val="0"/>
          <w:numId w:val="2"/>
        </w:numPr>
        <w:spacing w:after="80" w:before="80"/>
      </w:pPr>
      <w:r>
        <w:rPr>
          <w:rFonts w:ascii="Arial" w:cs="Arial" w:eastAsia="Arial" w:hAnsi="Arial"/>
          <w:sz w:val="22"/>
          <w:szCs w:val="22"/>
        </w:rPr>
        <w:t xml:space="preserve">(c) to prepare anonymised, aggregated evidence for submission to the Department for Education and in support of policy briefings and sector advocacy;</w:t>
      </w:r>
    </w:p>
    <w:p>
      <w:pPr>
        <w:pStyle w:val="ListParagraph"/>
        <w:numPr>
          <w:ilvl w:val="0"/>
          <w:numId w:val="2"/>
        </w:numPr>
        <w:spacing w:after="80" w:before="80"/>
      </w:pPr>
      <w:r>
        <w:rPr>
          <w:rFonts w:ascii="Arial" w:cs="Arial" w:eastAsia="Arial" w:hAnsi="Arial"/>
          <w:sz w:val="22"/>
          <w:szCs w:val="22"/>
        </w:rPr>
        <w:t xml:space="preserve">(d) to produce anonymised, aggregated impact reports for local authorities, commissioners and other bodies who have commissioned Quality Works for use by a cohort of settings;</w:t>
      </w:r>
    </w:p>
    <w:p>
      <w:pPr>
        <w:pStyle w:val="ListParagraph"/>
        <w:numPr>
          <w:ilvl w:val="0"/>
          <w:numId w:val="2"/>
        </w:numPr>
        <w:spacing w:after="80" w:before="80"/>
      </w:pPr>
      <w:r>
        <w:rPr>
          <w:rFonts w:ascii="Arial" w:cs="Arial" w:eastAsia="Arial" w:hAnsi="Arial"/>
          <w:sz w:val="22"/>
          <w:szCs w:val="22"/>
        </w:rPr>
        <w:t xml:space="preserve">(e) to develop anonymised case studies and illustrative examples for use in OOSA marketing, training and promotional materials.</w:t>
      </w:r>
    </w:p>
    <w:p>
      <w:pPr>
        <w:spacing w:after="80" w:before="80"/>
      </w:pPr>
      <w:r>
        <w:t xml:space="preserve"/>
      </w:r>
    </w:p>
    <w:p>
      <w:pPr>
        <w:pStyle w:val="Heading2"/>
        <w:spacing w:after="120" w:before="240"/>
      </w:pPr>
      <w:r>
        <w:rPr>
          <w:rFonts w:ascii="Arial" w:cs="Arial" w:eastAsia="Arial" w:hAnsi="Arial"/>
          <w:b/>
          <w:bCs/>
          <w:color w:val="007B8A"/>
          <w:sz w:val="24"/>
          <w:szCs w:val="24"/>
        </w:rPr>
        <w:t xml:space="preserve">How we protect it</w:t>
      </w:r>
    </w:p>
    <w:p>
      <w:pPr>
        <w:spacing w:after="100" w:before="100"/>
        <w:ind w:left="360" w:hanging="360"/>
      </w:pPr>
      <w:r>
        <w:rPr>
          <w:rFonts w:ascii="Arial" w:cs="Arial" w:eastAsia="Arial" w:hAnsi="Arial"/>
          <w:sz w:val="22"/>
          <w:szCs w:val="22"/>
        </w:rPr>
        <w:t xml:space="preserve">5.3	</w:t>
      </w:r>
      <w:r>
        <w:rPr>
          <w:rFonts w:ascii="Arial" w:cs="Arial" w:eastAsia="Arial" w:hAnsi="Arial"/>
          <w:sz w:val="22"/>
          <w:szCs w:val="22"/>
        </w:rPr>
        <w:t xml:space="preserve">Your individual setting’s data will never be shared with any third party in an identifiable form. All external reporting, benchmarking, commissioning reports and marketing outputs will use anonymised and/or aggregated data only. Your setting will not be individually identifiable in any published or shared materials without your explicit prior written consent.</w:t>
      </w:r>
    </w:p>
    <w:p>
      <w:pPr>
        <w:spacing w:after="100" w:before="100"/>
        <w:ind w:left="360" w:hanging="360"/>
      </w:pPr>
      <w:r>
        <w:rPr>
          <w:rFonts w:ascii="Arial" w:cs="Arial" w:eastAsia="Arial" w:hAnsi="Arial"/>
          <w:sz w:val="22"/>
          <w:szCs w:val="22"/>
        </w:rPr>
        <w:t xml:space="preserve">5.4	</w:t>
      </w:r>
      <w:r>
        <w:rPr>
          <w:rFonts w:ascii="Arial" w:cs="Arial" w:eastAsia="Arial" w:hAnsi="Arial"/>
          <w:sz w:val="22"/>
          <w:szCs w:val="22"/>
        </w:rPr>
        <w:t xml:space="preserve">Where Quality Works has been commissioned on your behalf by a local authority or other body, that commissioning body will receive aggregated, anonymised progress data relating to the cohort as a whole. They will not receive your individual setting’s Scorecard grades, narrative responses or Quality Report without your explicit consent.</w:t>
      </w:r>
    </w:p>
    <w:p>
      <w:pPr>
        <w:spacing w:after="80" w:before="80"/>
      </w:pPr>
      <w:r>
        <w:t xml:space="preserve"/>
      </w:r>
    </w:p>
    <w:p>
      <w:pPr>
        <w:pStyle w:val="Heading2"/>
        <w:spacing w:after="120" w:before="240"/>
      </w:pPr>
      <w:r>
        <w:rPr>
          <w:rFonts w:ascii="Arial" w:cs="Arial" w:eastAsia="Arial" w:hAnsi="Arial"/>
          <w:b/>
          <w:bCs/>
          <w:color w:val="007B8A"/>
          <w:sz w:val="24"/>
          <w:szCs w:val="24"/>
        </w:rPr>
        <w:t xml:space="preserve">Lawful basis</w:t>
      </w:r>
    </w:p>
    <w:p>
      <w:pPr>
        <w:spacing w:after="100" w:before="100"/>
        <w:ind w:left="360" w:hanging="360"/>
      </w:pPr>
      <w:r>
        <w:rPr>
          <w:rFonts w:ascii="Arial" w:cs="Arial" w:eastAsia="Arial" w:hAnsi="Arial"/>
          <w:sz w:val="22"/>
          <w:szCs w:val="22"/>
        </w:rPr>
        <w:t xml:space="preserve">5.5	</w:t>
      </w:r>
      <w:r>
        <w:rPr>
          <w:rFonts w:ascii="Arial" w:cs="Arial" w:eastAsia="Arial" w:hAnsi="Arial"/>
          <w:sz w:val="22"/>
          <w:szCs w:val="22"/>
        </w:rPr>
        <w:t xml:space="preserve">We process your Scorecard data under the following lawful bases under UK GDPR:</w:t>
      </w:r>
    </w:p>
    <w:p>
      <w:pPr>
        <w:pStyle w:val="ListParagraph"/>
        <w:numPr>
          <w:ilvl w:val="0"/>
          <w:numId w:val="2"/>
        </w:numPr>
        <w:spacing w:after="80" w:before="80"/>
      </w:pPr>
      <w:r>
        <w:rPr>
          <w:rFonts w:ascii="Arial" w:cs="Arial" w:eastAsia="Arial" w:hAnsi="Arial"/>
          <w:b/>
          <w:bCs/>
          <w:sz w:val="22"/>
          <w:szCs w:val="22"/>
        </w:rPr>
        <w:t xml:space="preserve">Performance of contract</w:t>
      </w:r>
      <w:r>
        <w:rPr>
          <w:rFonts w:ascii="Arial" w:cs="Arial" w:eastAsia="Arial" w:hAnsi="Arial"/>
          <w:b w:val="false"/>
          <w:bCs w:val="false"/>
          <w:sz w:val="22"/>
          <w:szCs w:val="22"/>
        </w:rPr>
        <w:t xml:space="preserve"> — processing necessary to deliver your Quality Report and the quality improvement outputs you have purchased;</w:t>
      </w:r>
    </w:p>
    <w:p>
      <w:pPr>
        <w:pStyle w:val="ListParagraph"/>
        <w:numPr>
          <w:ilvl w:val="0"/>
          <w:numId w:val="2"/>
        </w:numPr>
        <w:spacing w:after="80" w:before="80"/>
      </w:pPr>
      <w:r>
        <w:rPr>
          <w:rFonts w:ascii="Arial" w:cs="Arial" w:eastAsia="Arial" w:hAnsi="Arial"/>
          <w:b/>
          <w:bCs/>
          <w:sz w:val="22"/>
          <w:szCs w:val="22"/>
        </w:rPr>
        <w:t xml:space="preserve">Legitimate interests</w:t>
      </w:r>
      <w:r>
        <w:rPr>
          <w:rFonts w:ascii="Arial" w:cs="Arial" w:eastAsia="Arial" w:hAnsi="Arial"/>
          <w:b w:val="false"/>
          <w:bCs w:val="false"/>
          <w:sz w:val="22"/>
          <w:szCs w:val="22"/>
        </w:rPr>
        <w:t xml:space="preserve"> — the use of anonymised, aggregated data for sector benchmarking, policy advocacy and impact reporting, which we consider proportionate and not overriding of your rights and interests;</w:t>
      </w:r>
    </w:p>
    <w:p>
      <w:pPr>
        <w:pStyle w:val="ListParagraph"/>
        <w:numPr>
          <w:ilvl w:val="0"/>
          <w:numId w:val="2"/>
        </w:numPr>
        <w:spacing w:after="80" w:before="80"/>
      </w:pPr>
      <w:r>
        <w:rPr>
          <w:rFonts w:ascii="Arial" w:cs="Arial" w:eastAsia="Arial" w:hAnsi="Arial"/>
          <w:b/>
          <w:bCs/>
          <w:sz w:val="22"/>
          <w:szCs w:val="22"/>
        </w:rPr>
        <w:t xml:space="preserve">Consent</w:t>
      </w:r>
      <w:r>
        <w:rPr>
          <w:rFonts w:ascii="Arial" w:cs="Arial" w:eastAsia="Arial" w:hAnsi="Arial"/>
          <w:b w:val="false"/>
          <w:bCs w:val="false"/>
          <w:sz w:val="22"/>
          <w:szCs w:val="22"/>
        </w:rPr>
        <w:t xml:space="preserve"> — where we seek to use any data in a way that goes beyond the above, including in identifiable case studies or direct attribution, we will seek your explicit written consent in advance.</w:t>
      </w:r>
    </w:p>
    <w:p>
      <w:pPr>
        <w:spacing w:after="100" w:before="100"/>
        <w:ind w:left="360" w:hanging="360"/>
      </w:pPr>
      <w:r>
        <w:rPr>
          <w:rFonts w:ascii="Arial" w:cs="Arial" w:eastAsia="Arial" w:hAnsi="Arial"/>
          <w:sz w:val="22"/>
          <w:szCs w:val="22"/>
        </w:rPr>
        <w:t xml:space="preserve">5.6	</w:t>
      </w:r>
      <w:r>
        <w:rPr>
          <w:rFonts w:ascii="Arial" w:cs="Arial" w:eastAsia="Arial" w:hAnsi="Arial"/>
          <w:sz w:val="22"/>
          <w:szCs w:val="22"/>
        </w:rPr>
        <w:t xml:space="preserve">By completing the Quality Works Scorecard, you confirm that you have read and understood this data notice and consent to your data being processed for the purposes set out in clause 5.2(a) to (e) above.</w:t>
      </w:r>
    </w:p>
    <w:p>
      <w:pPr>
        <w:spacing w:after="80" w:before="80"/>
      </w:pPr>
      <w:r>
        <w:t xml:space="preserve"/>
      </w:r>
    </w:p>
    <w:p>
      <w:pPr>
        <w:pStyle w:val="Heading2"/>
        <w:spacing w:after="120" w:before="240"/>
      </w:pPr>
      <w:r>
        <w:rPr>
          <w:rFonts w:ascii="Arial" w:cs="Arial" w:eastAsia="Arial" w:hAnsi="Arial"/>
          <w:b/>
          <w:bCs/>
          <w:color w:val="007B8A"/>
          <w:sz w:val="24"/>
          <w:szCs w:val="24"/>
        </w:rPr>
        <w:t xml:space="preserve">Your rights</w:t>
      </w:r>
    </w:p>
    <w:p>
      <w:pPr>
        <w:spacing w:after="100" w:before="100"/>
        <w:ind w:left="360" w:hanging="360"/>
      </w:pPr>
      <w:r>
        <w:rPr>
          <w:rFonts w:ascii="Arial" w:cs="Arial" w:eastAsia="Arial" w:hAnsi="Arial"/>
          <w:sz w:val="22"/>
          <w:szCs w:val="22"/>
        </w:rPr>
        <w:t xml:space="preserve">5.7	</w:t>
      </w:r>
      <w:r>
        <w:rPr>
          <w:rFonts w:ascii="Arial" w:cs="Arial" w:eastAsia="Arial" w:hAnsi="Arial"/>
          <w:sz w:val="22"/>
          <w:szCs w:val="22"/>
        </w:rPr>
        <w:t xml:space="preserve">You have the right to access the personal data we hold about you, to request correction of inaccurate data, and to request deletion of your data. To exercise any of these rights, please contact us at info@oosa.co.uk.</w:t>
      </w:r>
    </w:p>
    <w:p>
      <w:pPr>
        <w:spacing w:after="100" w:before="100"/>
        <w:ind w:left="360" w:hanging="360"/>
      </w:pPr>
      <w:r>
        <w:rPr>
          <w:rFonts w:ascii="Arial" w:cs="Arial" w:eastAsia="Arial" w:hAnsi="Arial"/>
          <w:sz w:val="22"/>
          <w:szCs w:val="22"/>
        </w:rPr>
        <w:t xml:space="preserve">5.8	</w:t>
      </w:r>
      <w:r>
        <w:rPr>
          <w:rFonts w:ascii="Arial" w:cs="Arial" w:eastAsia="Arial" w:hAnsi="Arial"/>
          <w:sz w:val="22"/>
          <w:szCs w:val="22"/>
        </w:rPr>
        <w:t xml:space="preserve">Our full Privacy Policy is available on the Out of School Alliance website.</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6. Access Period and Renewal</w:t>
      </w:r>
    </w:p>
    <w:p>
      <w:pPr>
        <w:spacing w:after="100" w:before="100"/>
        <w:ind w:left="360" w:hanging="360"/>
      </w:pPr>
      <w:r>
        <w:rPr>
          <w:rFonts w:ascii="Arial" w:cs="Arial" w:eastAsia="Arial" w:hAnsi="Arial"/>
          <w:sz w:val="22"/>
          <w:szCs w:val="22"/>
        </w:rPr>
        <w:t xml:space="preserve">6.1	</w:t>
      </w:r>
      <w:r>
        <w:rPr>
          <w:rFonts w:ascii="Arial" w:cs="Arial" w:eastAsia="Arial" w:hAnsi="Arial"/>
          <w:sz w:val="22"/>
          <w:szCs w:val="22"/>
        </w:rPr>
        <w:t xml:space="preserve">Unless otherwise stated at the point of purchase, your Quality Works licence is valid for 12 months from the date of purchase. Any per-setting bolt-ons purchased during the licence period will run until the end of that licence period.</w:t>
      </w:r>
    </w:p>
    <w:p>
      <w:pPr>
        <w:spacing w:after="100" w:before="100"/>
        <w:ind w:left="360" w:hanging="360"/>
      </w:pPr>
      <w:r>
        <w:rPr>
          <w:rFonts w:ascii="Arial" w:cs="Arial" w:eastAsia="Arial" w:hAnsi="Arial"/>
          <w:sz w:val="22"/>
          <w:szCs w:val="22"/>
        </w:rPr>
        <w:t xml:space="preserve">6.2	</w:t>
      </w:r>
      <w:r>
        <w:rPr>
          <w:rFonts w:ascii="Arial" w:cs="Arial" w:eastAsia="Arial" w:hAnsi="Arial"/>
          <w:sz w:val="22"/>
          <w:szCs w:val="22"/>
        </w:rPr>
        <w:t xml:space="preserve">Access to the Quality Works Scorecard will remain active for the duration of your licence period. Quality Reports generated during the licence period will remain accessible within your OOSA Academy account.</w:t>
      </w:r>
    </w:p>
    <w:p>
      <w:pPr>
        <w:spacing w:after="100" w:before="100"/>
        <w:ind w:left="360" w:hanging="360"/>
      </w:pPr>
      <w:r>
        <w:rPr>
          <w:rFonts w:ascii="Arial" w:cs="Arial" w:eastAsia="Arial" w:hAnsi="Arial"/>
          <w:sz w:val="22"/>
          <w:szCs w:val="22"/>
        </w:rPr>
        <w:t xml:space="preserve">6.3	</w:t>
      </w:r>
      <w:r>
        <w:rPr>
          <w:rFonts w:ascii="Arial" w:cs="Arial" w:eastAsia="Arial" w:hAnsi="Arial"/>
          <w:sz w:val="22"/>
          <w:szCs w:val="22"/>
        </w:rPr>
        <w:t xml:space="preserve">If your licence is not renewed, access to the Scorecard and your account area will be suspended. Your historical Quality Reports will be retained for 24 months following expiry and will be reactivated upon renewal.</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7. Cancellation and Refunds</w:t>
      </w:r>
    </w:p>
    <w:p>
      <w:pPr>
        <w:spacing w:after="100" w:before="100"/>
        <w:ind w:left="360" w:hanging="360"/>
      </w:pPr>
      <w:r>
        <w:rPr>
          <w:rFonts w:ascii="Arial" w:cs="Arial" w:eastAsia="Arial" w:hAnsi="Arial"/>
          <w:sz w:val="22"/>
          <w:szCs w:val="22"/>
        </w:rPr>
        <w:t xml:space="preserve">7.1	</w:t>
      </w:r>
      <w:r>
        <w:rPr>
          <w:rFonts w:ascii="Arial" w:cs="Arial" w:eastAsia="Arial" w:hAnsi="Arial"/>
          <w:sz w:val="22"/>
          <w:szCs w:val="22"/>
        </w:rPr>
        <w:t xml:space="preserve">Quality Works constitutes digital content. The cancellation and refund terms set out in the Out of School Alliance Contract of Sale apply. Once access to the Toolkit has been granted, you will not be entitled to a refund unless the content is faulty.</w:t>
      </w:r>
    </w:p>
    <w:p>
      <w:pPr>
        <w:spacing w:after="100" w:before="100"/>
        <w:ind w:left="360" w:hanging="360"/>
      </w:pPr>
      <w:r>
        <w:rPr>
          <w:rFonts w:ascii="Arial" w:cs="Arial" w:eastAsia="Arial" w:hAnsi="Arial"/>
          <w:sz w:val="22"/>
          <w:szCs w:val="22"/>
        </w:rPr>
        <w:t xml:space="preserve">7.2	</w:t>
      </w:r>
      <w:r>
        <w:rPr>
          <w:rFonts w:ascii="Arial" w:cs="Arial" w:eastAsia="Arial" w:hAnsi="Arial"/>
          <w:sz w:val="22"/>
          <w:szCs w:val="22"/>
        </w:rPr>
        <w:t xml:space="preserve">Per-setting bolt-ons are non-refundable once Scorecard access for that setting has been activated.</w:t>
      </w:r>
    </w:p>
    <w:p>
      <w:pPr>
        <w:spacing w:after="100" w:before="100"/>
        <w:ind w:left="360" w:hanging="360"/>
      </w:pPr>
      <w:r>
        <w:rPr>
          <w:rFonts w:ascii="Arial" w:cs="Arial" w:eastAsia="Arial" w:hAnsi="Arial"/>
          <w:sz w:val="22"/>
          <w:szCs w:val="22"/>
        </w:rPr>
        <w:t xml:space="preserve">7.3	</w:t>
      </w:r>
      <w:r>
        <w:rPr>
          <w:rFonts w:ascii="Arial" w:cs="Arial" w:eastAsia="Arial" w:hAnsi="Arial"/>
          <w:sz w:val="22"/>
          <w:szCs w:val="22"/>
        </w:rPr>
        <w:t xml:space="preserve">If you experience a technical fault that prevents you from accessing any part of the Toolkit, please contact us at info@oosa.co.uk. If we are unable to resolve the issue and your purchase was made within the last 30 days, we will provide a full refund.</w:t>
      </w:r>
    </w:p>
    <w:p>
      <w:pPr>
        <w:spacing w:after="80" w:before="80"/>
      </w:pPr>
      <w:r>
        <w:t xml:space="preserve"/>
      </w:r>
    </w:p>
    <w:p>
      <w:pPr>
        <w:pStyle w:val="Heading1"/>
        <w:spacing w:after="160" w:before="320"/>
      </w:pPr>
      <w:r>
        <w:rPr>
          <w:rFonts w:ascii="Arial" w:cs="Arial" w:eastAsia="Arial" w:hAnsi="Arial"/>
          <w:b/>
          <w:bCs/>
          <w:color w:val="1B2A4A"/>
          <w:sz w:val="28"/>
          <w:szCs w:val="28"/>
        </w:rPr>
        <w:t xml:space="preserve">8. General</w:t>
      </w:r>
    </w:p>
    <w:p>
      <w:pPr>
        <w:spacing w:after="100" w:before="100"/>
        <w:ind w:left="360" w:hanging="360"/>
      </w:pPr>
      <w:r>
        <w:rPr>
          <w:rFonts w:ascii="Arial" w:cs="Arial" w:eastAsia="Arial" w:hAnsi="Arial"/>
          <w:sz w:val="22"/>
          <w:szCs w:val="22"/>
        </w:rPr>
        <w:t xml:space="preserve">8.1	</w:t>
      </w:r>
      <w:r>
        <w:rPr>
          <w:rFonts w:ascii="Arial" w:cs="Arial" w:eastAsia="Arial" w:hAnsi="Arial"/>
          <w:sz w:val="22"/>
          <w:szCs w:val="22"/>
        </w:rPr>
        <w:t xml:space="preserve">These supplementary terms form part of your contract with The Bold Type Training &amp; Consultancy Ltd and should be read alongside the Out of School Alliance Contract of Sale. In the event of any conflict between these supplementary terms and the Contract of Sale, these supplementary terms shall prevail in respect of Quality Works.</w:t>
      </w:r>
    </w:p>
    <w:p>
      <w:pPr>
        <w:spacing w:after="100" w:before="100"/>
        <w:ind w:left="360" w:hanging="360"/>
      </w:pPr>
      <w:r>
        <w:rPr>
          <w:rFonts w:ascii="Arial" w:cs="Arial" w:eastAsia="Arial" w:hAnsi="Arial"/>
          <w:sz w:val="22"/>
          <w:szCs w:val="22"/>
        </w:rPr>
        <w:t xml:space="preserve">8.2	</w:t>
      </w:r>
      <w:r>
        <w:rPr>
          <w:rFonts w:ascii="Arial" w:cs="Arial" w:eastAsia="Arial" w:hAnsi="Arial"/>
          <w:sz w:val="22"/>
          <w:szCs w:val="22"/>
        </w:rPr>
        <w:t xml:space="preserve">We reserve the right to update these supplementary terms from time to time. We will notify you of any material changes via email or through the OOSA Academy website. Your continued use of Quality Works following notification will constitute your acceptance of the revised terms.</w:t>
      </w:r>
    </w:p>
    <w:p>
      <w:pPr>
        <w:spacing w:after="100" w:before="100"/>
        <w:ind w:left="360" w:hanging="360"/>
      </w:pPr>
      <w:r>
        <w:rPr>
          <w:rFonts w:ascii="Arial" w:cs="Arial" w:eastAsia="Arial" w:hAnsi="Arial"/>
          <w:sz w:val="22"/>
          <w:szCs w:val="22"/>
        </w:rPr>
        <w:t xml:space="preserve">8.3	</w:t>
      </w:r>
      <w:r>
        <w:rPr>
          <w:rFonts w:ascii="Arial" w:cs="Arial" w:eastAsia="Arial" w:hAnsi="Arial"/>
          <w:sz w:val="22"/>
          <w:szCs w:val="22"/>
        </w:rPr>
        <w:t xml:space="preserve">These terms are governed by and shall be interpreted in accordance with the laws of England and Wales. The English courts shall have jurisdiction to settle any dispute arising under or in connection with these terms.</w:t>
      </w:r>
    </w:p>
    <w:p>
      <w:pPr>
        <w:pBdr>
          <w:bottom w:val="single" w:color="007B8A" w:sz="6" w:space="1"/>
        </w:pBdr>
        <w:spacing w:after="160" w:before="160"/>
      </w:pPr>
      <w:r>
        <w:t xml:space="preserve"/>
      </w:r>
    </w:p>
    <w:p>
      <w:pPr>
        <w:spacing w:after="80" w:before="160"/>
        <w:jc w:val="center"/>
      </w:pPr>
      <w:r>
        <w:rPr>
          <w:rFonts w:ascii="Arial" w:cs="Arial" w:eastAsia="Arial" w:hAnsi="Arial"/>
          <w:color w:val="666666"/>
          <w:sz w:val="18"/>
          <w:szCs w:val="18"/>
        </w:rPr>
        <w:t xml:space="preserve">The Bold Type Training &amp; Consultancy Ltd  |  trading as Out of School Alliance and OOSA Academy</w:t>
      </w:r>
    </w:p>
    <w:p>
      <w:pPr>
        <w:spacing w:after="80" w:before="0"/>
        <w:jc w:val="center"/>
      </w:pPr>
      <w:r>
        <w:rPr>
          <w:rFonts w:ascii="Arial" w:cs="Arial" w:eastAsia="Arial" w:hAnsi="Arial"/>
          <w:color w:val="666666"/>
          <w:sz w:val="18"/>
          <w:szCs w:val="18"/>
        </w:rPr>
        <w:t xml:space="preserve">Company no. 11544956  |  VAT no. 404154732  |  info@oosa.co.uk  |  0345 3142008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2026-04-21T12:36:42.327Z</dcterms:created>
  <dcterms:modified xsi:type="dcterms:W3CDTF">2026-04-21T12:36:42.328Z</dcterms:modified>
</cp:coreProperties>
</file>

<file path=docProps/custom.xml><?xml version="1.0" encoding="utf-8"?>
<Properties xmlns="http://schemas.openxmlformats.org/officeDocument/2006/custom-properties" xmlns:vt="http://schemas.openxmlformats.org/officeDocument/2006/docPropsVTypes"/>
</file>